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BD" w:rsidRPr="004A00BD" w:rsidRDefault="004A00BD" w:rsidP="004A00BD">
      <w:pPr>
        <w:widowControl w:val="0"/>
        <w:snapToGrid w:val="0"/>
        <w:spacing w:before="100" w:after="100" w:line="240" w:lineRule="auto"/>
        <w:jc w:val="center"/>
        <w:rPr>
          <w:rFonts w:ascii="Times New Roman" w:eastAsia="Times New Roman" w:hAnsi="Times New Roman" w:cs="Times New Roman"/>
          <w:b/>
          <w:sz w:val="28"/>
          <w:szCs w:val="28"/>
        </w:rPr>
      </w:pPr>
      <w:bookmarkStart w:id="0" w:name="_GoBack"/>
      <w:bookmarkEnd w:id="0"/>
      <w:r w:rsidRPr="004A00BD">
        <w:rPr>
          <w:rFonts w:ascii="Times New Roman" w:eastAsia="Times New Roman" w:hAnsi="Times New Roman" w:cs="Times New Roman"/>
          <w:b/>
          <w:sz w:val="28"/>
          <w:szCs w:val="28"/>
        </w:rPr>
        <w:t>INDIVIDUAL SERVICE CONTRACT FORECAST</w:t>
      </w:r>
    </w:p>
    <w:p w:rsidR="004A00BD" w:rsidRPr="004A00BD" w:rsidRDefault="004A00BD" w:rsidP="004A00BD">
      <w:pPr>
        <w:widowControl w:val="0"/>
        <w:snapToGrid w:val="0"/>
        <w:spacing w:after="0" w:line="240" w:lineRule="auto"/>
        <w:jc w:val="center"/>
        <w:rPr>
          <w:rFonts w:ascii="Times New Roman" w:eastAsia="Times New Roman" w:hAnsi="Times New Roman" w:cs="Times New Roman"/>
          <w:b/>
          <w:sz w:val="24"/>
          <w:szCs w:val="20"/>
        </w:rPr>
      </w:pPr>
      <w:r w:rsidRPr="004A00BD">
        <w:rPr>
          <w:rFonts w:ascii="Times New Roman" w:eastAsia="Times New Roman" w:hAnsi="Times New Roman" w:cs="Times New Roman"/>
          <w:b/>
          <w:sz w:val="28"/>
        </w:rPr>
        <w:t>Contract Title:</w:t>
      </w:r>
    </w:p>
    <w:p w:rsidR="004A00BD" w:rsidRPr="004A00BD" w:rsidRDefault="004A00BD" w:rsidP="004A00BD">
      <w:pPr>
        <w:widowControl w:val="0"/>
        <w:snapToGrid w:val="0"/>
        <w:spacing w:after="0" w:line="240" w:lineRule="auto"/>
        <w:jc w:val="center"/>
        <w:rPr>
          <w:rFonts w:ascii="Times New Roman" w:eastAsia="Times New Roman" w:hAnsi="Times New Roman" w:cs="Times New Roman"/>
          <w:sz w:val="24"/>
          <w:szCs w:val="20"/>
        </w:rPr>
      </w:pPr>
      <w:bookmarkStart w:id="1" w:name="OLE_LINK4"/>
      <w:bookmarkStart w:id="2" w:name="OLE_LINK3"/>
      <w:r w:rsidRPr="004A00BD">
        <w:rPr>
          <w:rFonts w:ascii="Times New Roman" w:eastAsia="Times New Roman" w:hAnsi="Times New Roman" w:cs="Times New Roman"/>
          <w:sz w:val="28"/>
          <w:szCs w:val="28"/>
        </w:rPr>
        <w:t>Technical Assistance for the Establishment of a Maritime/Hospitality</w:t>
      </w:r>
      <w:bookmarkEnd w:id="1"/>
      <w:bookmarkEnd w:id="2"/>
      <w:r w:rsidRPr="004A00BD">
        <w:rPr>
          <w:rFonts w:ascii="Times New Roman" w:eastAsia="Times New Roman" w:hAnsi="Times New Roman" w:cs="Times New Roman"/>
          <w:sz w:val="28"/>
          <w:szCs w:val="28"/>
        </w:rPr>
        <w:t xml:space="preserve"> Institute </w:t>
      </w:r>
    </w:p>
    <w:p w:rsidR="004A00BD" w:rsidRPr="004A00BD" w:rsidRDefault="004A00BD" w:rsidP="004A00BD">
      <w:pPr>
        <w:widowControl w:val="0"/>
        <w:snapToGrid w:val="0"/>
        <w:spacing w:after="0" w:line="240" w:lineRule="auto"/>
        <w:jc w:val="center"/>
        <w:rPr>
          <w:rFonts w:ascii="Times New Roman" w:eastAsia="Times New Roman" w:hAnsi="Times New Roman" w:cs="Times New Roman"/>
          <w:b/>
          <w:sz w:val="24"/>
          <w:szCs w:val="20"/>
        </w:rPr>
      </w:pPr>
      <w:r w:rsidRPr="004A00BD">
        <w:rPr>
          <w:rFonts w:ascii="Times New Roman" w:eastAsia="Times New Roman" w:hAnsi="Times New Roman" w:cs="Times New Roman"/>
          <w:b/>
          <w:sz w:val="28"/>
        </w:rPr>
        <w:t>Location – Diamond Industrial Estate</w:t>
      </w:r>
    </w:p>
    <w:p w:rsidR="004A00BD" w:rsidRPr="004A00BD" w:rsidRDefault="004A00BD" w:rsidP="004A00BD">
      <w:pPr>
        <w:widowControl w:val="0"/>
        <w:snapToGrid w:val="0"/>
        <w:spacing w:after="0" w:line="240" w:lineRule="auto"/>
        <w:jc w:val="center"/>
        <w:rPr>
          <w:rFonts w:ascii="Times New Roman" w:eastAsia="Times New Roman" w:hAnsi="Times New Roman" w:cs="Times New Roman"/>
          <w:sz w:val="24"/>
          <w:szCs w:val="20"/>
        </w:rPr>
      </w:pPr>
      <w:smartTag w:uri="urn:schemas-microsoft-com:office:smarttags" w:element="place">
        <w:smartTag w:uri="urn:schemas-microsoft-com:office:smarttags" w:element="country-region">
          <w:r w:rsidRPr="004A00BD">
            <w:rPr>
              <w:rFonts w:ascii="Times New Roman" w:eastAsia="Times New Roman" w:hAnsi="Times New Roman" w:cs="Times New Roman"/>
              <w:sz w:val="28"/>
            </w:rPr>
            <w:t>St Vincent and the Grenadines</w:t>
          </w:r>
        </w:smartTag>
      </w:smartTag>
      <w:r w:rsidRPr="004A00BD">
        <w:rPr>
          <w:rFonts w:ascii="Times New Roman" w:eastAsia="Times New Roman" w:hAnsi="Times New Roman" w:cs="Times New Roman"/>
          <w:sz w:val="28"/>
        </w:rPr>
        <w:t xml:space="preserve"> </w:t>
      </w:r>
    </w:p>
    <w:p w:rsidR="004A00BD" w:rsidRPr="004A00BD" w:rsidRDefault="004A00BD" w:rsidP="004A00BD">
      <w:pPr>
        <w:widowControl w:val="0"/>
        <w:snapToGrid w:val="0"/>
        <w:spacing w:before="80" w:after="0" w:line="360" w:lineRule="auto"/>
        <w:ind w:left="426" w:hanging="426"/>
        <w:outlineLvl w:val="0"/>
        <w:rPr>
          <w:rFonts w:ascii="Times New Roman" w:eastAsia="Times New Roman" w:hAnsi="Times New Roman" w:cs="Times New Roman"/>
          <w:b/>
        </w:rPr>
      </w:pPr>
      <w:r w:rsidRPr="004A00BD">
        <w:rPr>
          <w:rFonts w:ascii="Times New Roman" w:eastAsia="Times New Roman" w:hAnsi="Times New Roman" w:cs="Times New Roman"/>
          <w:b/>
        </w:rPr>
        <w:t>1.</w:t>
      </w:r>
      <w:r w:rsidRPr="004A00BD">
        <w:rPr>
          <w:rFonts w:ascii="Times New Roman" w:eastAsia="Times New Roman" w:hAnsi="Times New Roman" w:cs="Times New Roman"/>
          <w:b/>
        </w:rPr>
        <w:tab/>
        <w:t>Publication Reference:</w:t>
      </w:r>
    </w:p>
    <w:p w:rsidR="004A00BD" w:rsidRPr="004A00BD" w:rsidRDefault="004A00BD" w:rsidP="004A00BD">
      <w:pPr>
        <w:widowControl w:val="0"/>
        <w:snapToGrid w:val="0"/>
        <w:spacing w:before="80" w:after="0" w:line="360" w:lineRule="auto"/>
        <w:ind w:left="426" w:hanging="426"/>
        <w:outlineLvl w:val="0"/>
        <w:rPr>
          <w:rFonts w:ascii="Times New Roman" w:eastAsia="Times New Roman" w:hAnsi="Times New Roman" w:cs="Times New Roman"/>
          <w:sz w:val="24"/>
          <w:szCs w:val="20"/>
          <w:lang w:val="da-DK"/>
        </w:rPr>
      </w:pPr>
      <w:r w:rsidRPr="004A00BD">
        <w:rPr>
          <w:rFonts w:ascii="Times New Roman" w:eastAsia="Times New Roman" w:hAnsi="Times New Roman" w:cs="Times New Roman"/>
          <w:lang w:val="da-DK"/>
        </w:rPr>
        <w:t xml:space="preserve">        EuropeAid/130444/D/SER/VC</w:t>
      </w:r>
    </w:p>
    <w:p w:rsidR="004A00BD" w:rsidRPr="004A00BD" w:rsidRDefault="004A00BD" w:rsidP="004A00BD">
      <w:pPr>
        <w:widowControl w:val="0"/>
        <w:snapToGrid w:val="0"/>
        <w:spacing w:before="80" w:after="0" w:line="360" w:lineRule="auto"/>
        <w:ind w:left="426" w:hanging="426"/>
        <w:outlineLvl w:val="0"/>
        <w:rPr>
          <w:rFonts w:ascii="Times New Roman" w:eastAsia="Times New Roman" w:hAnsi="Times New Roman" w:cs="Times New Roman"/>
          <w:b/>
        </w:rPr>
      </w:pPr>
      <w:r w:rsidRPr="004A00BD">
        <w:rPr>
          <w:rFonts w:ascii="Times New Roman" w:eastAsia="Times New Roman" w:hAnsi="Times New Roman" w:cs="Times New Roman"/>
          <w:b/>
        </w:rPr>
        <w:t xml:space="preserve">2. </w:t>
      </w:r>
      <w:r w:rsidRPr="004A00BD">
        <w:rPr>
          <w:rFonts w:ascii="Times New Roman" w:eastAsia="Times New Roman" w:hAnsi="Times New Roman" w:cs="Times New Roman"/>
          <w:b/>
        </w:rPr>
        <w:tab/>
        <w:t xml:space="preserve">Procedure: </w:t>
      </w:r>
      <w:r w:rsidRPr="004A00BD">
        <w:rPr>
          <w:rFonts w:ascii="Times New Roman" w:eastAsia="Times New Roman" w:hAnsi="Times New Roman" w:cs="Times New Roman"/>
        </w:rPr>
        <w:t>International Restricted Tender Procedure</w:t>
      </w:r>
    </w:p>
    <w:p w:rsidR="004A00BD" w:rsidRPr="004A00BD" w:rsidRDefault="004A00BD" w:rsidP="004A00BD">
      <w:pPr>
        <w:widowControl w:val="0"/>
        <w:snapToGrid w:val="0"/>
        <w:spacing w:before="80" w:after="0" w:line="360" w:lineRule="auto"/>
        <w:ind w:left="426" w:hanging="426"/>
        <w:outlineLvl w:val="0"/>
        <w:rPr>
          <w:rFonts w:ascii="Times New Roman" w:eastAsia="Times New Roman" w:hAnsi="Times New Roman" w:cs="Times New Roman"/>
          <w:b/>
        </w:rPr>
      </w:pPr>
      <w:r w:rsidRPr="004A00BD">
        <w:rPr>
          <w:rFonts w:ascii="Times New Roman" w:eastAsia="Times New Roman" w:hAnsi="Times New Roman" w:cs="Times New Roman"/>
          <w:b/>
        </w:rPr>
        <w:t xml:space="preserve">3. </w:t>
      </w:r>
      <w:r w:rsidRPr="004A00BD">
        <w:rPr>
          <w:rFonts w:ascii="Times New Roman" w:eastAsia="Times New Roman" w:hAnsi="Times New Roman" w:cs="Times New Roman"/>
          <w:b/>
        </w:rPr>
        <w:tab/>
        <w:t xml:space="preserve">Programme: </w:t>
      </w:r>
      <w:r w:rsidRPr="004A00BD">
        <w:rPr>
          <w:rFonts w:ascii="Times New Roman" w:eastAsia="Times New Roman" w:hAnsi="Times New Roman" w:cs="Times New Roman"/>
        </w:rPr>
        <w:t>Special Framework of Assistance (SFA 2007)</w:t>
      </w:r>
    </w:p>
    <w:p w:rsidR="004A00BD" w:rsidRPr="004A00BD" w:rsidRDefault="004A00BD" w:rsidP="004A00BD">
      <w:pPr>
        <w:widowControl w:val="0"/>
        <w:snapToGrid w:val="0"/>
        <w:spacing w:before="80" w:after="0" w:line="360" w:lineRule="auto"/>
        <w:ind w:left="426" w:hanging="426"/>
        <w:outlineLvl w:val="0"/>
        <w:rPr>
          <w:rFonts w:ascii="Times New Roman" w:eastAsia="Times New Roman" w:hAnsi="Times New Roman" w:cs="Times New Roman"/>
          <w:b/>
        </w:rPr>
      </w:pPr>
      <w:r w:rsidRPr="004A00BD">
        <w:rPr>
          <w:rFonts w:ascii="Times New Roman" w:eastAsia="Times New Roman" w:hAnsi="Times New Roman" w:cs="Times New Roman"/>
          <w:b/>
        </w:rPr>
        <w:t xml:space="preserve">4. </w:t>
      </w:r>
      <w:r w:rsidRPr="004A00BD">
        <w:rPr>
          <w:rFonts w:ascii="Times New Roman" w:eastAsia="Times New Roman" w:hAnsi="Times New Roman" w:cs="Times New Roman"/>
          <w:b/>
        </w:rPr>
        <w:tab/>
        <w:t xml:space="preserve">Financing: </w:t>
      </w:r>
      <w:r w:rsidRPr="004A00BD">
        <w:rPr>
          <w:rFonts w:ascii="Times New Roman" w:eastAsia="Times New Roman" w:hAnsi="Times New Roman" w:cs="Times New Roman"/>
        </w:rPr>
        <w:t>B-21.06.05</w:t>
      </w:r>
    </w:p>
    <w:p w:rsidR="004A00BD" w:rsidRPr="004A00BD" w:rsidRDefault="004A00BD" w:rsidP="004A00BD">
      <w:pPr>
        <w:widowControl w:val="0"/>
        <w:snapToGrid w:val="0"/>
        <w:spacing w:before="80" w:after="0" w:line="360" w:lineRule="auto"/>
        <w:ind w:left="426" w:hanging="426"/>
        <w:outlineLvl w:val="0"/>
        <w:rPr>
          <w:rFonts w:ascii="Times New Roman" w:eastAsia="Times New Roman" w:hAnsi="Times New Roman" w:cs="Times New Roman"/>
        </w:rPr>
      </w:pPr>
      <w:r w:rsidRPr="004A00BD">
        <w:rPr>
          <w:rFonts w:ascii="Times New Roman" w:eastAsia="Times New Roman" w:hAnsi="Times New Roman" w:cs="Times New Roman"/>
          <w:b/>
        </w:rPr>
        <w:t xml:space="preserve">5. </w:t>
      </w:r>
      <w:r w:rsidRPr="004A00BD">
        <w:rPr>
          <w:rFonts w:ascii="Times New Roman" w:eastAsia="Times New Roman" w:hAnsi="Times New Roman" w:cs="Times New Roman"/>
          <w:b/>
        </w:rPr>
        <w:tab/>
        <w:t xml:space="preserve">Contracting Authority: </w:t>
      </w:r>
      <w:r w:rsidRPr="004A00BD">
        <w:rPr>
          <w:rFonts w:ascii="Times New Roman" w:eastAsia="Times New Roman" w:hAnsi="Times New Roman" w:cs="Times New Roman"/>
        </w:rPr>
        <w:t xml:space="preserve">Government of </w:t>
      </w:r>
      <w:smartTag w:uri="urn:schemas-microsoft-com:office:smarttags" w:element="place">
        <w:smartTag w:uri="urn:schemas-microsoft-com:office:smarttags" w:element="country-region">
          <w:r w:rsidRPr="004A00BD">
            <w:rPr>
              <w:rFonts w:ascii="Times New Roman" w:eastAsia="Times New Roman" w:hAnsi="Times New Roman" w:cs="Times New Roman"/>
            </w:rPr>
            <w:t>St Vincent and the Grenadines</w:t>
          </w:r>
        </w:smartTag>
      </w:smartTag>
      <w:r w:rsidRPr="004A00BD">
        <w:rPr>
          <w:rFonts w:ascii="Times New Roman" w:eastAsia="Times New Roman" w:hAnsi="Times New Roman" w:cs="Times New Roman"/>
        </w:rPr>
        <w:t xml:space="preserve"> </w:t>
      </w:r>
    </w:p>
    <w:p w:rsidR="004A00BD" w:rsidRPr="004A00BD" w:rsidRDefault="004A00BD" w:rsidP="004A00BD">
      <w:pPr>
        <w:widowControl w:val="0"/>
        <w:snapToGrid w:val="0"/>
        <w:spacing w:before="80" w:after="100" w:line="240" w:lineRule="auto"/>
        <w:ind w:left="426" w:hanging="426"/>
        <w:outlineLvl w:val="0"/>
        <w:rPr>
          <w:rFonts w:ascii="Times New Roman" w:eastAsia="Times New Roman" w:hAnsi="Times New Roman" w:cs="Times New Roman"/>
          <w:b/>
          <w:sz w:val="24"/>
          <w:szCs w:val="20"/>
        </w:rPr>
      </w:pPr>
      <w:r w:rsidRPr="004A00BD">
        <w:rPr>
          <w:rFonts w:ascii="Times New Roman" w:eastAsia="Times New Roman" w:hAnsi="Times New Roman" w:cs="Times New Roman"/>
          <w:b/>
        </w:rPr>
        <w:t xml:space="preserve">6. </w:t>
      </w:r>
      <w:r w:rsidRPr="004A00BD">
        <w:rPr>
          <w:rFonts w:ascii="Times New Roman" w:eastAsia="Times New Roman" w:hAnsi="Times New Roman" w:cs="Times New Roman"/>
          <w:b/>
        </w:rPr>
        <w:tab/>
        <w:t xml:space="preserve">Nature of contract: </w:t>
      </w:r>
      <w:r w:rsidRPr="004A00BD">
        <w:rPr>
          <w:rFonts w:ascii="Times New Roman" w:eastAsia="Times New Roman" w:hAnsi="Times New Roman" w:cs="Times New Roman"/>
        </w:rPr>
        <w:t>Fee Based</w:t>
      </w:r>
    </w:p>
    <w:p w:rsidR="004A00BD" w:rsidRPr="004A00BD" w:rsidRDefault="004A00BD" w:rsidP="004A00BD">
      <w:pPr>
        <w:widowControl w:val="0"/>
        <w:snapToGrid w:val="0"/>
        <w:spacing w:before="80" w:after="100" w:line="240" w:lineRule="auto"/>
        <w:outlineLvl w:val="0"/>
        <w:rPr>
          <w:rFonts w:ascii="Times New Roman" w:eastAsia="Times New Roman" w:hAnsi="Times New Roman" w:cs="Times New Roman"/>
          <w:b/>
          <w:bCs/>
          <w:color w:val="0000FF"/>
          <w:sz w:val="24"/>
          <w:szCs w:val="20"/>
          <w:u w:val="single"/>
        </w:rPr>
      </w:pPr>
      <w:r w:rsidRPr="004A00BD">
        <w:rPr>
          <w:rFonts w:ascii="Times New Roman" w:eastAsia="Times New Roman" w:hAnsi="Times New Roman" w:cs="Times New Roman"/>
          <w:b/>
        </w:rPr>
        <w:t xml:space="preserve">7.     Contract description: </w:t>
      </w:r>
    </w:p>
    <w:p w:rsidR="004A00BD" w:rsidRPr="004A00BD" w:rsidRDefault="004A00BD" w:rsidP="004A00BD">
      <w:pPr>
        <w:widowControl w:val="0"/>
        <w:snapToGrid w:val="0"/>
        <w:spacing w:before="120" w:after="100" w:line="240" w:lineRule="auto"/>
        <w:ind w:firstLine="425"/>
        <w:outlineLvl w:val="0"/>
        <w:rPr>
          <w:rFonts w:ascii="Times New Roman" w:eastAsia="Times New Roman" w:hAnsi="Times New Roman" w:cs="Times New Roman"/>
          <w:b/>
        </w:rPr>
      </w:pPr>
      <w:r w:rsidRPr="004A00BD">
        <w:rPr>
          <w:rFonts w:ascii="Times New Roman" w:eastAsia="Times New Roman" w:hAnsi="Times New Roman" w:cs="Times New Roman"/>
        </w:rPr>
        <w:t>Consultancy Services for:</w:t>
      </w:r>
    </w:p>
    <w:p w:rsidR="004A00BD" w:rsidRPr="004A00BD" w:rsidRDefault="004A00BD" w:rsidP="004A00BD">
      <w:pPr>
        <w:widowControl w:val="0"/>
        <w:snapToGrid w:val="0"/>
        <w:spacing w:after="0" w:line="240" w:lineRule="auto"/>
        <w:ind w:left="425"/>
        <w:jc w:val="both"/>
        <w:outlineLvl w:val="0"/>
        <w:rPr>
          <w:rFonts w:ascii="Times New Roman" w:eastAsia="Times New Roman" w:hAnsi="Times New Roman" w:cs="Times New Roman"/>
          <w:bCs/>
        </w:rPr>
      </w:pPr>
      <w:r w:rsidRPr="004A00BD">
        <w:rPr>
          <w:rFonts w:ascii="Times New Roman" w:eastAsia="Times New Roman" w:hAnsi="Times New Roman" w:cs="Times New Roman"/>
          <w:bCs/>
        </w:rPr>
        <w:t>Project management, supervision of construction, curriculum development and accreditation, management structures, development of a Business Plan, preparation of tender dossier and procurement of equipment and furnishings, recruitment and training of staff, commissioning and operations of a fully-functioning Hospitality and Maritime Training Institute in St. Vincent and the Grenadines.</w:t>
      </w:r>
      <w:r w:rsidRPr="004A00BD">
        <w:rPr>
          <w:rFonts w:ascii="Times New Roman" w:eastAsia="Times New Roman" w:hAnsi="Times New Roman" w:cs="Times New Roman"/>
          <w:bCs/>
        </w:rPr>
        <w:tab/>
      </w:r>
    </w:p>
    <w:p w:rsidR="004A00BD" w:rsidRPr="004A00BD" w:rsidRDefault="004A00BD" w:rsidP="004A00BD">
      <w:pPr>
        <w:widowControl w:val="0"/>
        <w:snapToGrid w:val="0"/>
        <w:spacing w:before="120" w:after="120" w:line="240" w:lineRule="auto"/>
        <w:ind w:left="425" w:right="357"/>
        <w:jc w:val="both"/>
        <w:rPr>
          <w:rFonts w:ascii="Times New Roman" w:eastAsia="Times New Roman" w:hAnsi="Times New Roman" w:cs="Times New Roman"/>
        </w:rPr>
      </w:pPr>
      <w:r w:rsidRPr="004A00BD">
        <w:rPr>
          <w:rFonts w:ascii="Times New Roman" w:eastAsia="Times New Roman" w:hAnsi="Times New Roman" w:cs="Times New Roman"/>
        </w:rPr>
        <w:t xml:space="preserve">The consulting team shall consist of a Tourism Training and Education Expert (Team Leader), </w:t>
      </w:r>
      <w:r w:rsidRPr="004A00BD">
        <w:rPr>
          <w:rFonts w:ascii="Times New Roman" w:eastAsia="Times New Roman" w:hAnsi="Times New Roman" w:cs="Times New Roman"/>
        </w:rPr>
        <w:lastRenderedPageBreak/>
        <w:t>Maritime Expert, a Curriculum/Course Development Expert,</w:t>
      </w:r>
      <w:r w:rsidRPr="004A00BD">
        <w:rPr>
          <w:rFonts w:ascii="Times New Roman" w:eastAsia="Times New Roman" w:hAnsi="Times New Roman" w:cs="Times New Roman"/>
          <w:bCs/>
        </w:rPr>
        <w:t xml:space="preserve"> Architect, Civil Engineer and Electro-mechanical Engineer, and Quantity Surveying experts</w:t>
      </w:r>
      <w:r w:rsidRPr="004A00BD">
        <w:rPr>
          <w:rFonts w:ascii="Times New Roman" w:eastAsia="Times New Roman" w:hAnsi="Times New Roman" w:cs="Times New Roman"/>
        </w:rPr>
        <w:t>. These services shall be applied on an as needed basis over the period of the Consultancy.</w:t>
      </w:r>
    </w:p>
    <w:p w:rsidR="004A00BD" w:rsidRPr="004A00BD" w:rsidRDefault="004A00BD" w:rsidP="004A00BD">
      <w:pPr>
        <w:tabs>
          <w:tab w:val="left" w:pos="720"/>
        </w:tabs>
        <w:spacing w:after="240" w:line="240" w:lineRule="auto"/>
        <w:ind w:left="425"/>
        <w:jc w:val="both"/>
        <w:rPr>
          <w:rFonts w:ascii="Times New Roman" w:eastAsia="Times New Roman" w:hAnsi="Times New Roman" w:cs="Times New Roman"/>
          <w:lang w:val="en-GB"/>
        </w:rPr>
      </w:pPr>
      <w:r w:rsidRPr="004A00BD">
        <w:rPr>
          <w:rFonts w:ascii="Times New Roman" w:eastAsia="Times New Roman" w:hAnsi="Times New Roman" w:cs="Times New Roman"/>
          <w:sz w:val="24"/>
          <w:szCs w:val="20"/>
          <w:lang w:val="en-GB"/>
        </w:rPr>
        <w:t xml:space="preserve">It is envisaged that the establishment of a fully-functional Hospitality and Maritime Training Institute with accredited training programmes will also include all the necessary planning, operations and commissioning of a fully functioning educational facility which adequately meets the present and future needs of the Hospitality, Tourism and Maritime sectors in </w:t>
      </w:r>
      <w:smartTag w:uri="urn:schemas-microsoft-com:office:smarttags" w:element="place">
        <w:smartTag w:uri="urn:schemas-microsoft-com:office:smarttags" w:element="country-region">
          <w:r w:rsidRPr="004A00BD">
            <w:rPr>
              <w:rFonts w:ascii="Times New Roman" w:eastAsia="Times New Roman" w:hAnsi="Times New Roman" w:cs="Times New Roman"/>
              <w:sz w:val="24"/>
              <w:szCs w:val="20"/>
              <w:lang w:val="en-GB"/>
            </w:rPr>
            <w:t>St. Vincent and the Grenadines</w:t>
          </w:r>
        </w:smartTag>
      </w:smartTag>
      <w:r w:rsidRPr="004A00BD">
        <w:rPr>
          <w:rFonts w:ascii="Times New Roman" w:eastAsia="Times New Roman" w:hAnsi="Times New Roman" w:cs="Times New Roman"/>
          <w:sz w:val="24"/>
          <w:szCs w:val="20"/>
          <w:lang w:val="en-GB"/>
        </w:rPr>
        <w:t xml:space="preserve">. </w:t>
      </w:r>
      <w:r w:rsidRPr="004A00BD">
        <w:rPr>
          <w:rFonts w:ascii="Times New Roman" w:eastAsia="Times New Roman" w:hAnsi="Times New Roman" w:cs="Times New Roman"/>
          <w:lang w:val="en-GB"/>
        </w:rPr>
        <w:t xml:space="preserve">The proposed SVG Hospitality and Maritime Training Institute will consist of 4 main buildings including: the hospitality training building, the maritime training building, administration building and a student hostel. The buildings shall be predominantly reinforced concrete with a single/two storied layout depending on the dimensions of the site. Total floor space of buildings shall be between 18,000 and 20,000 square feet. External works shall include drains, paths and driveways, fence and sewerage system for the complex. </w:t>
      </w:r>
    </w:p>
    <w:p w:rsidR="004A00BD" w:rsidRPr="004A00BD" w:rsidRDefault="004A00BD" w:rsidP="004A00BD">
      <w:pPr>
        <w:tabs>
          <w:tab w:val="left" w:pos="720"/>
        </w:tabs>
        <w:spacing w:after="0" w:line="240" w:lineRule="auto"/>
        <w:ind w:left="283" w:hanging="283"/>
        <w:jc w:val="both"/>
        <w:rPr>
          <w:rFonts w:ascii="Times New Roman" w:eastAsia="Times New Roman" w:hAnsi="Times New Roman" w:cs="Times New Roman"/>
          <w:sz w:val="24"/>
          <w:szCs w:val="20"/>
        </w:rPr>
      </w:pPr>
      <w:r w:rsidRPr="004A00BD">
        <w:rPr>
          <w:rFonts w:ascii="Times New Roman" w:eastAsia="Times New Roman" w:hAnsi="Times New Roman" w:cs="Times New Roman"/>
          <w:b/>
          <w:lang w:val="en-GB"/>
        </w:rPr>
        <w:t xml:space="preserve">8. </w:t>
      </w:r>
      <w:r w:rsidRPr="004A00BD">
        <w:rPr>
          <w:rFonts w:ascii="Times New Roman" w:eastAsia="Times New Roman" w:hAnsi="Times New Roman" w:cs="Times New Roman"/>
          <w:b/>
          <w:lang w:val="en-GB"/>
        </w:rPr>
        <w:tab/>
        <w:t xml:space="preserve">  Indicative Budget: </w:t>
      </w:r>
      <w:r w:rsidRPr="004A00BD">
        <w:rPr>
          <w:rFonts w:ascii="Times New Roman" w:eastAsia="Times New Roman" w:hAnsi="Times New Roman" w:cs="Times New Roman"/>
          <w:lang w:val="en-GB"/>
        </w:rPr>
        <w:t xml:space="preserve">750,000 Euros (maximum) </w:t>
      </w:r>
    </w:p>
    <w:p w:rsidR="004A00BD" w:rsidRPr="004A00BD" w:rsidRDefault="004A00BD" w:rsidP="004A00BD">
      <w:pPr>
        <w:widowControl w:val="0"/>
        <w:snapToGrid w:val="0"/>
        <w:spacing w:after="0" w:line="240" w:lineRule="auto"/>
        <w:ind w:left="426" w:hanging="426"/>
        <w:outlineLvl w:val="0"/>
        <w:rPr>
          <w:rFonts w:ascii="Times New Roman" w:eastAsia="Times New Roman" w:hAnsi="Times New Roman" w:cs="Times New Roman"/>
          <w:b/>
        </w:rPr>
      </w:pPr>
      <w:r w:rsidRPr="004A00BD">
        <w:rPr>
          <w:rFonts w:ascii="Times New Roman" w:eastAsia="Times New Roman" w:hAnsi="Times New Roman" w:cs="Times New Roman"/>
          <w:b/>
        </w:rPr>
        <w:t xml:space="preserve">9. </w:t>
      </w:r>
      <w:r w:rsidRPr="004A00BD">
        <w:rPr>
          <w:rFonts w:ascii="Times New Roman" w:eastAsia="Times New Roman" w:hAnsi="Times New Roman" w:cs="Times New Roman"/>
          <w:b/>
        </w:rPr>
        <w:tab/>
        <w:t xml:space="preserve">Intended timing of publication of the Procurement Notice:  </w:t>
      </w:r>
      <w:r w:rsidRPr="004A00BD">
        <w:rPr>
          <w:rFonts w:ascii="Times New Roman" w:eastAsia="Times New Roman" w:hAnsi="Times New Roman" w:cs="Times New Roman"/>
        </w:rPr>
        <w:t>September 2010</w:t>
      </w:r>
    </w:p>
    <w:p w:rsidR="004A00BD" w:rsidRPr="004A00BD" w:rsidRDefault="004A00BD" w:rsidP="004A00BD">
      <w:pPr>
        <w:widowControl w:val="0"/>
        <w:snapToGrid w:val="0"/>
        <w:spacing w:after="0" w:line="240" w:lineRule="auto"/>
        <w:ind w:left="426" w:hanging="426"/>
        <w:outlineLvl w:val="0"/>
        <w:rPr>
          <w:rFonts w:ascii="Times New Roman" w:eastAsia="Times New Roman" w:hAnsi="Times New Roman" w:cs="Times New Roman"/>
        </w:rPr>
      </w:pPr>
      <w:r w:rsidRPr="004A00BD">
        <w:rPr>
          <w:rFonts w:ascii="Times New Roman" w:eastAsia="Times New Roman" w:hAnsi="Times New Roman" w:cs="Times New Roman"/>
          <w:b/>
        </w:rPr>
        <w:t xml:space="preserve">10. </w:t>
      </w:r>
      <w:r w:rsidRPr="004A00BD">
        <w:rPr>
          <w:rFonts w:ascii="Times New Roman" w:eastAsia="Times New Roman" w:hAnsi="Times New Roman" w:cs="Times New Roman"/>
          <w:b/>
        </w:rPr>
        <w:tab/>
        <w:t>Additional information</w:t>
      </w:r>
      <w:r w:rsidRPr="004A00BD">
        <w:rPr>
          <w:rFonts w:ascii="Times New Roman" w:eastAsia="Times New Roman" w:hAnsi="Times New Roman" w:cs="Times New Roman"/>
        </w:rPr>
        <w:t>: N/A</w:t>
      </w:r>
    </w:p>
    <w:p w:rsidR="004A00BD" w:rsidRPr="004A00BD" w:rsidRDefault="004A00BD" w:rsidP="004A00BD">
      <w:pPr>
        <w:widowControl w:val="0"/>
        <w:snapToGrid w:val="0"/>
        <w:spacing w:after="0" w:line="240" w:lineRule="auto"/>
        <w:ind w:left="426" w:hanging="426"/>
        <w:outlineLvl w:val="0"/>
        <w:rPr>
          <w:rFonts w:ascii="Times New Roman" w:eastAsia="Times New Roman" w:hAnsi="Times New Roman" w:cs="Times New Roman"/>
          <w:sz w:val="24"/>
          <w:szCs w:val="20"/>
        </w:rPr>
      </w:pPr>
      <w:r w:rsidRPr="004A00BD">
        <w:rPr>
          <w:rFonts w:ascii="Times New Roman" w:eastAsia="Times New Roman" w:hAnsi="Times New Roman" w:cs="Times New Roman"/>
          <w:b/>
        </w:rPr>
        <w:t xml:space="preserve">11. </w:t>
      </w:r>
      <w:r w:rsidRPr="004A00BD">
        <w:rPr>
          <w:rFonts w:ascii="Times New Roman" w:eastAsia="Times New Roman" w:hAnsi="Times New Roman" w:cs="Times New Roman"/>
          <w:b/>
        </w:rPr>
        <w:tab/>
        <w:t xml:space="preserve">Legal basis: </w:t>
      </w:r>
      <w:r w:rsidRPr="004A00BD">
        <w:rPr>
          <w:rFonts w:ascii="Times New Roman" w:eastAsia="Times New Roman" w:hAnsi="Times New Roman" w:cs="Times New Roman"/>
        </w:rPr>
        <w:t>Council Regulation of 856/99 April 1999 - establishing the Special Framework of Assistance for traditional ACP suppliers of bananas.</w:t>
      </w:r>
    </w:p>
    <w:p w:rsidR="00661520" w:rsidRDefault="000C4C5E"/>
    <w:sectPr w:rsidR="00661520" w:rsidSect="00D3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BD"/>
    <w:rsid w:val="000C4C5E"/>
    <w:rsid w:val="003A19AC"/>
    <w:rsid w:val="003A7B06"/>
    <w:rsid w:val="004A00BD"/>
    <w:rsid w:val="005F36EA"/>
    <w:rsid w:val="00D3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E5BFE5C-6F29-410E-BAEE-D9596F4B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00BD"/>
    <w:rPr>
      <w:i/>
      <w:iCs w:val="0"/>
    </w:rPr>
  </w:style>
  <w:style w:type="character" w:styleId="Strong">
    <w:name w:val="Strong"/>
    <w:basedOn w:val="DefaultParagraphFont"/>
    <w:uiPriority w:val="22"/>
    <w:qFormat/>
    <w:rsid w:val="004A00BD"/>
    <w:rPr>
      <w:b/>
      <w:bCs w:val="0"/>
    </w:rPr>
  </w:style>
  <w:style w:type="paragraph" w:styleId="ListBullet">
    <w:name w:val="List Bullet"/>
    <w:basedOn w:val="Normal"/>
    <w:uiPriority w:val="99"/>
    <w:semiHidden/>
    <w:unhideWhenUsed/>
    <w:rsid w:val="004A00BD"/>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Blockquote">
    <w:name w:val="Blockquote"/>
    <w:basedOn w:val="Normal"/>
    <w:rsid w:val="004A00BD"/>
    <w:pPr>
      <w:widowControl w:val="0"/>
      <w:snapToGrid w:val="0"/>
      <w:spacing w:before="100" w:after="100" w:line="240" w:lineRule="auto"/>
      <w:ind w:left="360" w:right="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Shameela</cp:lastModifiedBy>
  <cp:revision>2</cp:revision>
  <dcterms:created xsi:type="dcterms:W3CDTF">2013-08-09T00:16:00Z</dcterms:created>
  <dcterms:modified xsi:type="dcterms:W3CDTF">2013-08-09T00:16:00Z</dcterms:modified>
</cp:coreProperties>
</file>